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53355" w:rsidRDefault="007D00E0">
      <w:bookmarkStart w:id="0" w:name="_GoBack"/>
      <w:r>
        <w:t>Case 3</w:t>
      </w:r>
      <w:r w:rsidR="00B53355">
        <w:t>-</w:t>
      </w:r>
      <w:r w:rsidR="00B53355" w:rsidRPr="00830FFD">
        <w:t>Vinča-Neolithic-Ceramic-</w:t>
      </w:r>
      <w:r w:rsidR="00B53355">
        <w:t xml:space="preserve">Male </w:t>
      </w:r>
      <w:r w:rsidR="00B53355" w:rsidRPr="00830FFD">
        <w:t>Figurine</w:t>
      </w:r>
      <w:r w:rsidR="00B53355">
        <w:t>, V shaped head-</w:t>
      </w:r>
      <w:r w:rsidR="00B53355" w:rsidRPr="00830FFD">
        <w:t>5500-4500 BCE</w:t>
      </w:r>
      <w:r w:rsidR="00B53355">
        <w:t>.</w:t>
      </w:r>
      <w:bookmarkEnd w:id="0"/>
    </w:p>
    <w:p w:rsidR="0000311B" w:rsidRPr="00C01747" w:rsidRDefault="00C01747">
      <w:pPr>
        <w:rPr>
          <w:b/>
          <w:noProof/>
        </w:rPr>
      </w:pPr>
      <w:r>
        <w:rPr>
          <w:noProof/>
        </w:rPr>
        <w:drawing>
          <wp:inline distT="0" distB="0" distL="0" distR="0" wp14:anchorId="3A0CD8CE" wp14:editId="756A026A">
            <wp:extent cx="1936245" cy="3979602"/>
            <wp:effectExtent l="0" t="0" r="698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sharpenSoften amount="38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7625" cy="398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174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F969E3" wp14:editId="6A897EAB">
            <wp:extent cx="1924013" cy="4039595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61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8430" cy="404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174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CCC9591" wp14:editId="2210E634">
            <wp:extent cx="1702375" cy="402920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62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196" cy="405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174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A5E1BC" wp14:editId="1F60D42A">
            <wp:extent cx="2009867" cy="389158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38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4742" cy="390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174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5795D8" wp14:editId="2AB6962F">
            <wp:extent cx="1511183" cy="3897261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56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8379" cy="39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1747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C46C54" wp14:editId="15DFE211">
            <wp:extent cx="2010396" cy="3910633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61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2751" cy="393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FE6" w:rsidRDefault="00B53355" w:rsidP="00631FE6">
      <w:r>
        <w:t>Figs. 1-</w:t>
      </w:r>
      <w:r w:rsidR="00631FE6">
        <w:t>6</w:t>
      </w:r>
      <w:r>
        <w:t xml:space="preserve">. </w:t>
      </w:r>
      <w:proofErr w:type="spellStart"/>
      <w:r w:rsidR="00631FE6" w:rsidRPr="00830FFD">
        <w:t>Vinča</w:t>
      </w:r>
      <w:proofErr w:type="spellEnd"/>
      <w:r w:rsidR="00631FE6" w:rsidRPr="00830FFD">
        <w:t>-Neolithic-Ceramic-</w:t>
      </w:r>
      <w:r w:rsidR="00631FE6">
        <w:t xml:space="preserve">Male </w:t>
      </w:r>
      <w:r w:rsidR="00631FE6" w:rsidRPr="00830FFD">
        <w:t>Figurine</w:t>
      </w:r>
      <w:r w:rsidR="00631FE6">
        <w:t>, V shaped head-</w:t>
      </w:r>
      <w:r w:rsidR="00631FE6" w:rsidRPr="00830FFD">
        <w:t>5500-4500 BCE</w:t>
      </w:r>
      <w:r w:rsidR="00631FE6">
        <w:t>.</w:t>
      </w:r>
    </w:p>
    <w:p w:rsidR="00B53355" w:rsidRDefault="00B53355" w:rsidP="00B53355">
      <w:r>
        <w:t xml:space="preserve"> </w:t>
      </w:r>
    </w:p>
    <w:p w:rsidR="00B53355" w:rsidRDefault="00B53355" w:rsidP="00B53355">
      <w:pPr>
        <w:rPr>
          <w:rStyle w:val="Strong"/>
        </w:rPr>
      </w:pPr>
      <w:r>
        <w:rPr>
          <w:rStyle w:val="Strong"/>
        </w:rPr>
        <w:t>Case no.: 3</w:t>
      </w:r>
    </w:p>
    <w:p w:rsidR="00B53355" w:rsidRDefault="00B53355" w:rsidP="00B53355">
      <w:pPr>
        <w:rPr>
          <w:rStyle w:val="Strong"/>
        </w:rPr>
      </w:pPr>
      <w:r>
        <w:rPr>
          <w:rStyle w:val="Strong"/>
        </w:rPr>
        <w:lastRenderedPageBreak/>
        <w:t>Accession Number:</w:t>
      </w:r>
      <w:r w:rsidRPr="00191D8F">
        <w:rPr>
          <w:rStyle w:val="Strong"/>
          <w:b w:val="0"/>
        </w:rPr>
        <w:t xml:space="preserve"> </w:t>
      </w:r>
      <w:r>
        <w:rPr>
          <w:rStyle w:val="Strong"/>
          <w:b w:val="0"/>
        </w:rPr>
        <w:t>A</w:t>
      </w:r>
      <w:r w:rsidRPr="00191D8F">
        <w:rPr>
          <w:rStyle w:val="Strong"/>
          <w:b w:val="0"/>
        </w:rPr>
        <w:t>323</w:t>
      </w:r>
    </w:p>
    <w:p w:rsidR="00B53355" w:rsidRPr="00631FE6" w:rsidRDefault="00B53355" w:rsidP="00B53355">
      <w:pPr>
        <w:rPr>
          <w:rStyle w:val="Strong"/>
          <w:b w:val="0"/>
          <w:bCs w:val="0"/>
        </w:rPr>
      </w:pPr>
      <w:r>
        <w:rPr>
          <w:rStyle w:val="Strong"/>
        </w:rPr>
        <w:t>Formal Label:</w:t>
      </w:r>
      <w:r w:rsidRPr="003B7B0D">
        <w:t xml:space="preserve"> </w:t>
      </w:r>
      <w:proofErr w:type="spellStart"/>
      <w:r w:rsidR="00631FE6" w:rsidRPr="00830FFD">
        <w:t>Vinča</w:t>
      </w:r>
      <w:proofErr w:type="spellEnd"/>
      <w:r w:rsidR="00631FE6" w:rsidRPr="00830FFD">
        <w:t>-Neolithic-Ceramic-</w:t>
      </w:r>
      <w:r w:rsidR="00631FE6">
        <w:t xml:space="preserve">Male </w:t>
      </w:r>
      <w:r w:rsidR="00631FE6" w:rsidRPr="00830FFD">
        <w:t>Figurine</w:t>
      </w:r>
      <w:r w:rsidR="00631FE6">
        <w:t>, V shaped head-</w:t>
      </w:r>
      <w:r w:rsidR="00631FE6" w:rsidRPr="00830FFD">
        <w:t>5500-4500 BCE</w:t>
      </w:r>
      <w:r w:rsidR="00631FE6">
        <w:t>.</w:t>
      </w:r>
    </w:p>
    <w:p w:rsidR="00B53355" w:rsidRDefault="00B53355" w:rsidP="00B53355">
      <w:pPr>
        <w:rPr>
          <w:b/>
          <w:bCs/>
        </w:rPr>
      </w:pPr>
      <w:r w:rsidRPr="00ED4BF3">
        <w:rPr>
          <w:b/>
          <w:bCs/>
        </w:rPr>
        <w:t>Display Description:</w:t>
      </w:r>
      <w:r>
        <w:rPr>
          <w:b/>
          <w:bCs/>
        </w:rPr>
        <w:t xml:space="preserve"> </w:t>
      </w:r>
    </w:p>
    <w:p w:rsidR="00B53355" w:rsidRPr="00D47A9F" w:rsidRDefault="00B53355" w:rsidP="00B53355">
      <w:r>
        <w:tab/>
      </w:r>
      <w:r w:rsidRPr="00D47A9F">
        <w:t xml:space="preserve">The </w:t>
      </w:r>
      <w:proofErr w:type="spellStart"/>
      <w:r w:rsidRPr="00D47A9F">
        <w:t>Vinča</w:t>
      </w:r>
      <w:proofErr w:type="spellEnd"/>
      <w:r w:rsidRPr="00D47A9F">
        <w:t xml:space="preserve"> culture was named for its type site, </w:t>
      </w:r>
      <w:proofErr w:type="spellStart"/>
      <w:r w:rsidRPr="00D47A9F">
        <w:t>Vinča</w:t>
      </w:r>
      <w:proofErr w:type="spellEnd"/>
      <w:r w:rsidRPr="00D47A9F">
        <w:t xml:space="preserve">-Belo </w:t>
      </w:r>
      <w:proofErr w:type="spellStart"/>
      <w:r w:rsidRPr="00D47A9F">
        <w:t>Brdo</w:t>
      </w:r>
      <w:proofErr w:type="spellEnd"/>
      <w:r>
        <w:t xml:space="preserve"> tell or mound</w:t>
      </w:r>
      <w:r w:rsidRPr="00D47A9F">
        <w:t xml:space="preserve">, on the right bank of the Danube River in Belgrade, Serbia. </w:t>
      </w:r>
    </w:p>
    <w:p w:rsidR="00B53355" w:rsidRPr="00D47A9F" w:rsidRDefault="00B53355" w:rsidP="00B53355">
      <w:r w:rsidRPr="00D47A9F">
        <w:tab/>
        <w:t xml:space="preserve">Early </w:t>
      </w:r>
      <w:r>
        <w:t xml:space="preserve">phase </w:t>
      </w:r>
      <w:r w:rsidRPr="00D47A9F">
        <w:t xml:space="preserve">anthropomorphic figurines </w:t>
      </w:r>
      <w:r>
        <w:t xml:space="preserve">from this site </w:t>
      </w:r>
      <w:r w:rsidRPr="00D47A9F">
        <w:t>have triangular heads, flat bodies with short outstretched arms and closed legs. The treatment of facial and body features was done by simple incisions into the clay without modeling. Later</w:t>
      </w:r>
      <w:r>
        <w:t xml:space="preserve"> phase</w:t>
      </w:r>
      <w:r w:rsidRPr="00D47A9F">
        <w:t xml:space="preserve"> anthropomorphic figurines are more polygonal, with more pronounced facial features</w:t>
      </w:r>
      <w:r>
        <w:t>,</w:t>
      </w:r>
      <w:r w:rsidRPr="00D47A9F">
        <w:t xml:space="preserve"> such as modeled noses and distinctive half-moon eyes and modeled arms. For both periods no indication of a mouth is present. Some theorize that these figurines are deities for ritual practice, while others see them as ancestral cult objects. </w:t>
      </w:r>
    </w:p>
    <w:p w:rsidR="00B53355" w:rsidRDefault="00B53355" w:rsidP="00B53355">
      <w:r>
        <w:tab/>
        <w:t xml:space="preserve">This </w:t>
      </w:r>
      <w:proofErr w:type="spellStart"/>
      <w:r>
        <w:t>Vinča</w:t>
      </w:r>
      <w:proofErr w:type="spellEnd"/>
      <w:r>
        <w:t xml:space="preserve"> ceramic female anthropomorphic figurine is from the later period, and has a pronounced, straight nose, and eyes that are set high on the head, are modeled. Its breasts and navel are marked by </w:t>
      </w:r>
      <w:proofErr w:type="spellStart"/>
      <w:r>
        <w:t>punctates</w:t>
      </w:r>
      <w:proofErr w:type="spellEnd"/>
      <w:r>
        <w:t xml:space="preserve"> and it wears long hair in the back that extends to its shoulders. Its lower body is covered by a flounced </w:t>
      </w:r>
      <w:proofErr w:type="spellStart"/>
      <w:r>
        <w:t>kulotte</w:t>
      </w:r>
      <w:proofErr w:type="spellEnd"/>
      <w:r>
        <w:t xml:space="preserve"> held by suspenders extending to the ground from below the navel. Feet are not indicated. </w:t>
      </w:r>
    </w:p>
    <w:p w:rsidR="00B53355" w:rsidRDefault="00B53355" w:rsidP="00B53355">
      <w:pPr>
        <w:rPr>
          <w:rStyle w:val="Strong"/>
        </w:rPr>
      </w:pPr>
      <w:r>
        <w:tab/>
        <w:t>The midline of the figurine is curved by ca 4</w:t>
      </w:r>
      <w:r w:rsidRPr="00462CB0">
        <w:rPr>
          <w:vertAlign w:val="superscript"/>
        </w:rPr>
        <w:t>o</w:t>
      </w:r>
      <w:r>
        <w:t xml:space="preserve"> on the right side. This may be an accident of manufacture or it might be displaying a person’s curved spine. If it is the latter this a rare case of documented Neolithic scoliosis.</w:t>
      </w:r>
    </w:p>
    <w:p w:rsidR="00B53355" w:rsidRPr="00EB5DE2" w:rsidRDefault="00B53355" w:rsidP="00B53355">
      <w:pPr>
        <w:rPr>
          <w:b/>
          <w:bCs/>
        </w:rPr>
      </w:pPr>
      <w:r w:rsidRPr="00EB5DE2">
        <w:rPr>
          <w:b/>
          <w:bCs/>
        </w:rPr>
        <w:t>LC Classification:</w:t>
      </w:r>
      <w:r>
        <w:rPr>
          <w:b/>
          <w:bCs/>
        </w:rPr>
        <w:t xml:space="preserve"> </w:t>
      </w:r>
      <w:r w:rsidRPr="00694B7A">
        <w:t>GN776.</w:t>
      </w:r>
      <w:proofErr w:type="gramStart"/>
      <w:r w:rsidRPr="00694B7A">
        <w:t>2.V</w:t>
      </w:r>
      <w:proofErr w:type="gramEnd"/>
      <w:r w:rsidRPr="00694B7A">
        <w:t>5</w:t>
      </w:r>
      <w:r>
        <w:rPr>
          <w:rFonts w:ascii="inherit" w:hAnsi="inherit" w:cs="Arial"/>
          <w:color w:val="333333"/>
          <w:sz w:val="18"/>
          <w:szCs w:val="18"/>
        </w:rPr>
        <w:t> </w:t>
      </w:r>
      <w:r w:rsidRPr="00694B7A">
        <w:rPr>
          <w:rFonts w:ascii="inherit" w:hAnsi="inherit" w:cs="Arial"/>
          <w:color w:val="333333"/>
          <w:sz w:val="18"/>
          <w:szCs w:val="18"/>
          <w:bdr w:val="none" w:sz="0" w:space="0" w:color="auto" w:frame="1"/>
        </w:rPr>
        <w:t xml:space="preserve"> </w:t>
      </w:r>
    </w:p>
    <w:p w:rsidR="00B53355" w:rsidRDefault="00B53355" w:rsidP="00B53355">
      <w:r>
        <w:rPr>
          <w:rStyle w:val="Strong"/>
        </w:rPr>
        <w:t>Date or Time Horizon:</w:t>
      </w:r>
      <w:r>
        <w:t xml:space="preserve"> </w:t>
      </w:r>
      <w:r w:rsidRPr="002635C7">
        <w:t>Middle Neolithic/Copper Age</w:t>
      </w:r>
      <w:r>
        <w:t>-5500-4500 BCE.</w:t>
      </w:r>
    </w:p>
    <w:p w:rsidR="00B53355" w:rsidRDefault="00B53355" w:rsidP="00B53355">
      <w:r>
        <w:rPr>
          <w:rStyle w:val="Strong"/>
        </w:rPr>
        <w:t>Geographical Area:</w:t>
      </w:r>
      <w:r>
        <w:t xml:space="preserve"> SE Europe</w:t>
      </w:r>
    </w:p>
    <w:p w:rsidR="00B53355" w:rsidRDefault="00B53355" w:rsidP="00B53355">
      <w:r w:rsidRPr="0011252F">
        <w:rPr>
          <w:b/>
        </w:rPr>
        <w:t>Map, GPS coordinates:</w:t>
      </w:r>
      <w:r>
        <w:rPr>
          <w:b/>
        </w:rPr>
        <w:t xml:space="preserve"> </w:t>
      </w:r>
      <w:r w:rsidRPr="00813845">
        <w:t>44°45′43″N 20°37′23″E</w:t>
      </w:r>
      <w:r>
        <w:t xml:space="preserve"> (</w:t>
      </w:r>
      <w:proofErr w:type="spellStart"/>
      <w:r>
        <w:t>Vinča</w:t>
      </w:r>
      <w:proofErr w:type="spellEnd"/>
      <w:r>
        <w:t xml:space="preserve"> Belo-</w:t>
      </w:r>
      <w:proofErr w:type="spellStart"/>
      <w:r>
        <w:t>Brdo</w:t>
      </w:r>
      <w:proofErr w:type="spellEnd"/>
      <w:r>
        <w:t>, Serbia)</w:t>
      </w:r>
    </w:p>
    <w:p w:rsidR="00B53355" w:rsidRDefault="00B53355" w:rsidP="00B53355">
      <w:r w:rsidRPr="00863DBD">
        <w:rPr>
          <w:noProof/>
        </w:rPr>
        <w:drawing>
          <wp:inline distT="0" distB="0" distL="0" distR="0" wp14:anchorId="7622E4E1" wp14:editId="33B37CF5">
            <wp:extent cx="3228340" cy="3267710"/>
            <wp:effectExtent l="19050" t="19050" r="10160" b="279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340" cy="326771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object w:dxaOrig="5042" w:dyaOrig="648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00pt;height:257.5pt" o:ole="">
            <v:imagedata r:id="rId17" o:title=""/>
          </v:shape>
          <o:OLEObject Type="Embed" ProgID="Unknown" ShapeID="_x0000_i1025" DrawAspect="Content" ObjectID="_1609244041" r:id="rId18"/>
        </w:object>
      </w:r>
    </w:p>
    <w:p w:rsidR="00B53355" w:rsidRPr="00894C5B" w:rsidRDefault="00B53355" w:rsidP="00B53355">
      <w:r w:rsidRPr="00894C5B">
        <w:t xml:space="preserve">Fig. </w:t>
      </w:r>
      <w:r w:rsidR="00631FE6">
        <w:t>7</w:t>
      </w:r>
      <w:r>
        <w:t xml:space="preserve">. </w:t>
      </w:r>
      <w:r w:rsidRPr="00894C5B">
        <w:t xml:space="preserve">Map of the extent of Vinča culture. Adapted after </w:t>
      </w:r>
      <w:r>
        <w:t>Kaiser and Voytek (1983: 333, fig. 1) and Chapman (1981)</w:t>
      </w:r>
      <w:r w:rsidRPr="00894C5B">
        <w:t>; from https://www.ucl.ac.uk/silva/rise-metallurgy-eurasia/images/5.1.jpg?hires</w:t>
      </w:r>
    </w:p>
    <w:p w:rsidR="00B53355" w:rsidRPr="0011252F" w:rsidRDefault="00B53355" w:rsidP="00B53355">
      <w:pPr>
        <w:rPr>
          <w:b/>
        </w:rPr>
      </w:pPr>
      <w:r>
        <w:lastRenderedPageBreak/>
        <w:t xml:space="preserve">Fig. </w:t>
      </w:r>
      <w:r w:rsidR="00631FE6">
        <w:t>8</w:t>
      </w:r>
      <w:r>
        <w:t xml:space="preserve">. Map of the Central Balkans. Beograd = Belgrade, Serbia, and the approximate location of the Vinča Belo-Brdo site. From </w:t>
      </w:r>
      <w:r w:rsidRPr="00813845">
        <w:t>http://drakenberg.weebly.com/uploads/6/7/4/7/6747442/9582880.jpg?578</w:t>
      </w:r>
    </w:p>
    <w:p w:rsidR="00B53355" w:rsidRDefault="00B53355" w:rsidP="00B53355">
      <w:r>
        <w:rPr>
          <w:rStyle w:val="Strong"/>
        </w:rPr>
        <w:t>Cultural Affiliation:</w:t>
      </w:r>
      <w:r>
        <w:t xml:space="preserve"> Vinča Culture</w:t>
      </w:r>
    </w:p>
    <w:p w:rsidR="00B53355" w:rsidRDefault="00B53355" w:rsidP="00B53355">
      <w:r>
        <w:rPr>
          <w:rStyle w:val="Strong"/>
        </w:rPr>
        <w:t>Medium:</w:t>
      </w:r>
      <w:r>
        <w:t xml:space="preserve"> clay</w:t>
      </w:r>
    </w:p>
    <w:p w:rsidR="00B53355" w:rsidRDefault="00B53355" w:rsidP="00B53355">
      <w:pPr>
        <w:rPr>
          <w:b/>
          <w:bCs/>
        </w:rPr>
      </w:pPr>
      <w:r>
        <w:rPr>
          <w:rStyle w:val="Strong"/>
        </w:rPr>
        <w:t>Dimensions:</w:t>
      </w:r>
      <w:r>
        <w:t xml:space="preserve"> H 122.13 mm, 4.81 in</w:t>
      </w:r>
    </w:p>
    <w:p w:rsidR="00B53355" w:rsidRDefault="00B53355" w:rsidP="00B53355">
      <w:pPr>
        <w:rPr>
          <w:rStyle w:val="Strong"/>
        </w:rPr>
      </w:pPr>
      <w:r>
        <w:rPr>
          <w:rStyle w:val="Strong"/>
        </w:rPr>
        <w:t xml:space="preserve">Weight: </w:t>
      </w:r>
      <w:r w:rsidRPr="009873B6">
        <w:rPr>
          <w:rStyle w:val="Strong"/>
          <w:b w:val="0"/>
        </w:rPr>
        <w:t>258 gm, 9 oz</w:t>
      </w:r>
    </w:p>
    <w:p w:rsidR="00B53355" w:rsidRDefault="00B53355" w:rsidP="00B53355">
      <w:r>
        <w:rPr>
          <w:rStyle w:val="Strong"/>
        </w:rPr>
        <w:t>Provenance:</w:t>
      </w:r>
      <w:r>
        <w:t xml:space="preserve"> Anglo-Antiquities, 33 Medlock Grove, Didcot, Oxfordshire, ox11 7xy, United Kingdom</w:t>
      </w:r>
    </w:p>
    <w:p w:rsidR="00B53355" w:rsidRDefault="00B53355" w:rsidP="00B53355">
      <w:pPr>
        <w:rPr>
          <w:b/>
          <w:bCs/>
        </w:rPr>
      </w:pPr>
      <w:r>
        <w:rPr>
          <w:b/>
          <w:bCs/>
        </w:rPr>
        <w:t>Discussion:</w:t>
      </w:r>
    </w:p>
    <w:p w:rsidR="00B53355" w:rsidRPr="00D47A9F" w:rsidRDefault="00B53355" w:rsidP="00B53355">
      <w:r>
        <w:tab/>
      </w:r>
      <w:r w:rsidRPr="00D47A9F">
        <w:t>The Vinča culture emerged at the inception of the Middle Neolithic/Copper or Chacolithic Age (</w:t>
      </w:r>
      <w:r>
        <w:t>5500</w:t>
      </w:r>
      <w:r w:rsidRPr="00D47A9F">
        <w:t xml:space="preserve">-4500 BCE) with origins that are debated as either having derived from the </w:t>
      </w:r>
      <w:r>
        <w:t>earlier</w:t>
      </w:r>
      <w:r w:rsidRPr="00D47A9F">
        <w:t xml:space="preserve"> Starčevo culture (</w:t>
      </w:r>
      <w:r>
        <w:t>6200</w:t>
      </w:r>
      <w:r w:rsidRPr="00D47A9F">
        <w:t>-4500 BCE) of the area, which has been reputed to have been the source of a Proto Indo-European language (PIE)</w:t>
      </w:r>
      <w:r>
        <w:t>,</w:t>
      </w:r>
      <w:r w:rsidRPr="00D47A9F">
        <w:t xml:space="preserve"> or from migrations from a PIE homeland of a Kurgan or mound-building culture in the Pontic steppe north of the Black Sea</w:t>
      </w:r>
      <w:r>
        <w:t xml:space="preserve"> (The Kurgan Hypothesis)</w:t>
      </w:r>
      <w:r w:rsidRPr="00D47A9F">
        <w:t xml:space="preserve">. </w:t>
      </w:r>
    </w:p>
    <w:p w:rsidR="00B53355" w:rsidRPr="00D47A9F" w:rsidRDefault="00B53355" w:rsidP="00B53355">
      <w:r w:rsidRPr="00D47A9F">
        <w:tab/>
        <w:t xml:space="preserve">Vinča </w:t>
      </w:r>
      <w:r>
        <w:t>settlers</w:t>
      </w:r>
      <w:r w:rsidRPr="00D47A9F">
        <w:t xml:space="preserve"> initiated a cultural uniformity that they expressed in</w:t>
      </w:r>
      <w:r>
        <w:t xml:space="preserve"> farming,</w:t>
      </w:r>
      <w:r w:rsidRPr="00D47A9F">
        <w:t xml:space="preserve"> </w:t>
      </w:r>
      <w:r>
        <w:t xml:space="preserve">making </w:t>
      </w:r>
      <w:r w:rsidRPr="00D47A9F">
        <w:t xml:space="preserve">dark pottery fired under reducing conditions comprising zoomorphic and anthropomorphic figurines and </w:t>
      </w:r>
      <w:r>
        <w:t xml:space="preserve">making clay </w:t>
      </w:r>
      <w:r w:rsidRPr="00D47A9F">
        <w:t>tablets with so-called Vinča symbols</w:t>
      </w:r>
      <w:r>
        <w:t>,</w:t>
      </w:r>
      <w:r w:rsidRPr="00D47A9F">
        <w:t xml:space="preserve"> which have the appearance of proto-writing (Winn      Luca 2008: 26). The type site of the Vinča-Belo Brdo comprised 7 m of Vinča cultural debris overlying 2 m of the previous Starčevo culture. Elsewhere in Serbia a</w:t>
      </w:r>
      <w:r>
        <w:t>nd the western part of Romania</w:t>
      </w:r>
      <w:r w:rsidRPr="00D47A9F">
        <w:t xml:space="preserve"> large Vinča tell villages ranged up to 100 ha in size. </w:t>
      </w:r>
    </w:p>
    <w:p w:rsidR="00B53355" w:rsidRDefault="00B53355" w:rsidP="00B53355">
      <w:pPr>
        <w:rPr>
          <w:b/>
          <w:bCs/>
        </w:rPr>
      </w:pPr>
    </w:p>
    <w:p w:rsidR="00B53355" w:rsidRDefault="00B53355" w:rsidP="00B53355"/>
    <w:p w:rsidR="00B53355" w:rsidRDefault="00B53355" w:rsidP="00B53355">
      <w:r w:rsidRPr="00E2278E">
        <w:rPr>
          <w:noProof/>
        </w:rPr>
        <w:drawing>
          <wp:inline distT="0" distB="0" distL="0" distR="0" wp14:anchorId="07CD882B" wp14:editId="72ED7FD5">
            <wp:extent cx="2433320" cy="2170430"/>
            <wp:effectExtent l="0" t="0" r="5080" b="1270"/>
            <wp:docPr id="8" name="Picture 8" descr="Starcevo_cul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tarcevo_cultur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3320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begin"/>
      </w:r>
      <w:r>
        <w:instrText xml:space="preserve"> INCLUDEPICTURE "https://upload.wikimedia.org/wikipedia/commons/2/20/Kurgan_map.png" \* MERGEFORMATINET </w:instrText>
      </w:r>
      <w:r>
        <w:fldChar w:fldCharType="separate"/>
      </w:r>
      <w:r>
        <w:fldChar w:fldCharType="begin"/>
      </w:r>
      <w:r>
        <w:instrText xml:space="preserve"> INCLUDEPICTURE  "https://upload.wikimedia.org/wikipedia/commons/2/20/Kurgan_map.png" \* MERGEFORMATINET </w:instrText>
      </w:r>
      <w:r>
        <w:fldChar w:fldCharType="separate"/>
      </w:r>
      <w:r w:rsidR="007D00E0">
        <w:fldChar w:fldCharType="begin"/>
      </w:r>
      <w:r w:rsidR="007D00E0">
        <w:instrText xml:space="preserve"> </w:instrText>
      </w:r>
      <w:r w:rsidR="007D00E0">
        <w:instrText>INCLUDEPICTURE  "https://upload.wikimedia.org/</w:instrText>
      </w:r>
      <w:r w:rsidR="007D00E0">
        <w:instrText>wikipedia/commons/2/20/Kurgan_map.png" \* MERGEFORMATINET</w:instrText>
      </w:r>
      <w:r w:rsidR="007D00E0">
        <w:instrText xml:space="preserve"> </w:instrText>
      </w:r>
      <w:r w:rsidR="007D00E0">
        <w:fldChar w:fldCharType="separate"/>
      </w:r>
      <w:r w:rsidR="007D00E0">
        <w:pict>
          <v:shape id="_x0000_i1026" type="#_x0000_t75" alt="https://upload.wikimedia.org/wikipedia/commons/2/20/Kurgan_map.png" style="width:292pt;height:168.5pt">
            <v:imagedata r:id="rId20" r:href="rId21"/>
          </v:shape>
        </w:pict>
      </w:r>
      <w:r w:rsidR="007D00E0">
        <w:fldChar w:fldCharType="end"/>
      </w:r>
      <w:r>
        <w:fldChar w:fldCharType="end"/>
      </w:r>
      <w:r>
        <w:fldChar w:fldCharType="end"/>
      </w:r>
    </w:p>
    <w:p w:rsidR="00B53355" w:rsidRDefault="00B53355" w:rsidP="00B53355">
      <w:r>
        <w:t xml:space="preserve">Fig. </w:t>
      </w:r>
      <w:r w:rsidR="00631FE6">
        <w:t>9</w:t>
      </w:r>
      <w:r>
        <w:t xml:space="preserve">. The extent of the </w:t>
      </w:r>
      <w:r w:rsidRPr="00D47A9F">
        <w:t>Starčevo culture (</w:t>
      </w:r>
      <w:r>
        <w:t>6200</w:t>
      </w:r>
      <w:r w:rsidRPr="00D47A9F">
        <w:t>-4500 BCE)</w:t>
      </w:r>
      <w:r>
        <w:t xml:space="preserve"> in southeast Europe. After </w:t>
      </w:r>
      <w:r w:rsidRPr="00493B12">
        <w:t>https://upload.wikimedia.org/wikipedia/commons/thumb/e/ea/Starcevo_culture.png/450px-Starcevo_culture.png</w:t>
      </w:r>
    </w:p>
    <w:p w:rsidR="00B53355" w:rsidRDefault="00B53355" w:rsidP="00B53355">
      <w:r>
        <w:t xml:space="preserve">Fig. </w:t>
      </w:r>
      <w:r w:rsidR="00631FE6">
        <w:t>10</w:t>
      </w:r>
      <w:r>
        <w:t xml:space="preserve">. Overview of </w:t>
      </w:r>
      <w:hyperlink r:id="rId22" w:tooltip="Marija Gimbutas (page does not exist)" w:history="1">
        <w:r>
          <w:rPr>
            <w:rStyle w:val="Hyperlink"/>
          </w:rPr>
          <w:t>Marija Gimbutas</w:t>
        </w:r>
      </w:hyperlink>
      <w:r>
        <w:t xml:space="preserve">' </w:t>
      </w:r>
      <w:hyperlink r:id="rId23" w:tooltip="Kurgan (page does not exist)" w:history="1">
        <w:r>
          <w:rPr>
            <w:rStyle w:val="Hyperlink"/>
          </w:rPr>
          <w:t>Kurgan</w:t>
        </w:r>
      </w:hyperlink>
      <w:r>
        <w:t xml:space="preserve"> hypothesis showing the PIE migrations from the Pontic Steppes into southeastern Europe. Made by </w:t>
      </w:r>
      <w:hyperlink r:id="rId24" w:tooltip="en:User:Dbachmann" w:history="1">
        <w:r>
          <w:rPr>
            <w:rStyle w:val="Hyperlink"/>
          </w:rPr>
          <w:t>en:User:Dbachmann</w:t>
        </w:r>
      </w:hyperlink>
      <w:r>
        <w:t xml:space="preserve"> and originally at </w:t>
      </w:r>
      <w:hyperlink r:id="rId25" w:tooltip="en:Image:Kurgan map.png" w:history="1">
        <w:r>
          <w:rPr>
            <w:rStyle w:val="Hyperlink"/>
          </w:rPr>
          <w:t>en:Image:Kurgan map.png</w:t>
        </w:r>
      </w:hyperlink>
      <w:r>
        <w:t>.</w:t>
      </w:r>
    </w:p>
    <w:p w:rsidR="00B53355" w:rsidRPr="00D47A9F" w:rsidRDefault="00B53355" w:rsidP="00B53355"/>
    <w:p w:rsidR="00B53355" w:rsidRDefault="00B53355" w:rsidP="00B53355">
      <w:pPr>
        <w:rPr>
          <w:b/>
          <w:bCs/>
        </w:rPr>
      </w:pPr>
    </w:p>
    <w:p w:rsidR="00B53355" w:rsidRDefault="00B53355" w:rsidP="00B53355">
      <w:pPr>
        <w:rPr>
          <w:b/>
          <w:bCs/>
        </w:rPr>
      </w:pPr>
      <w:r>
        <w:rPr>
          <w:b/>
          <w:bCs/>
        </w:rPr>
        <w:t>References:</w:t>
      </w:r>
    </w:p>
    <w:p w:rsidR="00B53355" w:rsidRDefault="00B53355" w:rsidP="00B53355"/>
    <w:p w:rsidR="00B53355" w:rsidRDefault="00B53355" w:rsidP="00B53355">
      <w:pPr>
        <w:rPr>
          <w:b/>
          <w:bCs/>
        </w:rPr>
      </w:pPr>
      <w:r w:rsidRPr="00B53355">
        <w:t xml:space="preserve">Biagi, P. Gratuze, B. and Boucetta, S. 2007. </w:t>
      </w:r>
      <w:r>
        <w:t xml:space="preserve">“New data on the archaeological obsidians from Banat and Transylvania (Romania).” In M. Spataro and P. Biagi (eds.) </w:t>
      </w:r>
      <w:r w:rsidRPr="0094031E">
        <w:rPr>
          <w:i/>
        </w:rPr>
        <w:t>A short walk through the Balkans: The first farmers of the Carpathian basin and Adjacent regions</w:t>
      </w:r>
      <w:r>
        <w:t>. Quaderno 12. Trieste: Societa per la preistoria e protoistoria della regione Friuli-Venezia Giulia, pp. 129-39.</w:t>
      </w:r>
    </w:p>
    <w:p w:rsidR="00B53355" w:rsidRDefault="00B53355" w:rsidP="00B53355"/>
    <w:p w:rsidR="00B53355" w:rsidRDefault="00B53355" w:rsidP="00B53355">
      <w:r w:rsidRPr="00771CC0">
        <w:t>Chapman, J.</w:t>
      </w:r>
      <w:r>
        <w:t xml:space="preserve"> 1981. </w:t>
      </w:r>
      <w:r w:rsidRPr="0094031E">
        <w:rPr>
          <w:i/>
        </w:rPr>
        <w:t>The Vinča Culture of South East Europe. Studies in chronology, economy and society</w:t>
      </w:r>
      <w:r>
        <w:t>. British Archaeological Reports, International Series 117, Oxford: Archeopress. 2v.</w:t>
      </w:r>
    </w:p>
    <w:p w:rsidR="00B53355" w:rsidRDefault="00B53355" w:rsidP="00B53355">
      <w:pPr>
        <w:rPr>
          <w:rStyle w:val="HTMLCite"/>
          <w:i w:val="0"/>
        </w:rPr>
      </w:pPr>
    </w:p>
    <w:p w:rsidR="00B53355" w:rsidRPr="00746896" w:rsidRDefault="00B53355" w:rsidP="00B53355">
      <w:pPr>
        <w:rPr>
          <w:i/>
        </w:rPr>
      </w:pPr>
      <w:r w:rsidRPr="00746896">
        <w:rPr>
          <w:rStyle w:val="HTMLCite"/>
          <w:i w:val="0"/>
        </w:rPr>
        <w:t>Gimbutas, Marija</w:t>
      </w:r>
      <w:r>
        <w:rPr>
          <w:rStyle w:val="HTMLCite"/>
          <w:i w:val="0"/>
        </w:rPr>
        <w:t>.</w:t>
      </w:r>
      <w:r w:rsidRPr="00746896">
        <w:rPr>
          <w:rStyle w:val="HTMLCite"/>
        </w:rPr>
        <w:t xml:space="preserve"> </w:t>
      </w:r>
      <w:r>
        <w:rPr>
          <w:rStyle w:val="HTMLCite"/>
          <w:i w:val="0"/>
        </w:rPr>
        <w:t>1970.</w:t>
      </w:r>
      <w:r w:rsidRPr="00746896">
        <w:rPr>
          <w:rStyle w:val="HTMLCite"/>
          <w:i w:val="0"/>
        </w:rPr>
        <w:t xml:space="preserve"> </w:t>
      </w:r>
      <w:r>
        <w:rPr>
          <w:rStyle w:val="HTMLCite"/>
          <w:i w:val="0"/>
        </w:rPr>
        <w:t>“</w:t>
      </w:r>
      <w:r w:rsidRPr="00746896">
        <w:rPr>
          <w:rStyle w:val="HTMLCite"/>
          <w:i w:val="0"/>
        </w:rPr>
        <w:t>Proto-Indo-European Culture: The Kurgan Culture during the Fifth, Fourth, a</w:t>
      </w:r>
      <w:r>
        <w:rPr>
          <w:rStyle w:val="HTMLCite"/>
          <w:i w:val="0"/>
        </w:rPr>
        <w:t>nd Third Millennia B.C.”</w:t>
      </w:r>
      <w:r w:rsidRPr="00746896">
        <w:rPr>
          <w:rStyle w:val="HTMLCite"/>
          <w:i w:val="0"/>
        </w:rPr>
        <w:t xml:space="preserve"> </w:t>
      </w:r>
      <w:r>
        <w:rPr>
          <w:rStyle w:val="HTMLCite"/>
          <w:i w:val="0"/>
        </w:rPr>
        <w:t>I</w:t>
      </w:r>
      <w:r w:rsidRPr="00746896">
        <w:rPr>
          <w:rStyle w:val="HTMLCite"/>
          <w:i w:val="0"/>
        </w:rPr>
        <w:t xml:space="preserve">n Cardona, George; Hoenigswald, Henry M.; Senn, Alfred, </w:t>
      </w:r>
      <w:r w:rsidRPr="00746896">
        <w:rPr>
          <w:rStyle w:val="HTMLCite"/>
        </w:rPr>
        <w:t>Indo-European and Indo-Europeans: Papers Presented at the Third Indo-European Conference at the University of Pennsylvania</w:t>
      </w:r>
      <w:r>
        <w:rPr>
          <w:rStyle w:val="HTMLCite"/>
          <w:i w:val="0"/>
        </w:rPr>
        <w:t>.</w:t>
      </w:r>
      <w:r w:rsidRPr="00746896">
        <w:rPr>
          <w:rStyle w:val="HTMLCite"/>
          <w:i w:val="0"/>
        </w:rPr>
        <w:t xml:space="preserve"> Philadelphia: University of Pennsylvania Press, pp. 155–197</w:t>
      </w:r>
      <w:r>
        <w:rPr>
          <w:rStyle w:val="HTMLCite"/>
          <w:i w:val="0"/>
        </w:rPr>
        <w:t>.</w:t>
      </w:r>
    </w:p>
    <w:p w:rsidR="00B53355" w:rsidRDefault="00B53355" w:rsidP="00B53355"/>
    <w:p w:rsidR="00B53355" w:rsidRDefault="00B53355" w:rsidP="00B53355">
      <w:r>
        <w:t xml:space="preserve">Haak, Wolfgang </w:t>
      </w:r>
      <w:r w:rsidRPr="0094031E">
        <w:rPr>
          <w:i/>
        </w:rPr>
        <w:t>et al</w:t>
      </w:r>
      <w:r>
        <w:t xml:space="preserve">. 2015. “Massive migration from the steppe is a source for Indo-European languages in Europe.” bioRxiv preprint first posted online Feb. 10, 2015; doi: http://dx.doi.org/10.1101/013433 Now published in </w:t>
      </w:r>
      <w:r>
        <w:rPr>
          <w:i/>
          <w:iCs/>
        </w:rPr>
        <w:t>Nature</w:t>
      </w:r>
      <w:r>
        <w:t xml:space="preserve"> doi: </w:t>
      </w:r>
      <w:hyperlink r:id="rId26" w:tgtFrame="_blank" w:history="1">
        <w:r>
          <w:rPr>
            <w:rStyle w:val="Hyperlink"/>
            <w:color w:val="BC2635"/>
          </w:rPr>
          <w:t>10.1038/nature14317</w:t>
        </w:r>
      </w:hyperlink>
      <w:r>
        <w:t xml:space="preserve"> </w:t>
      </w:r>
    </w:p>
    <w:p w:rsidR="00B53355" w:rsidRDefault="00B53355" w:rsidP="00B53355"/>
    <w:p w:rsidR="00B53355" w:rsidRDefault="00B53355" w:rsidP="00B53355">
      <w:r>
        <w:t xml:space="preserve">Holmberg, E.J. 1964. “The Appearance of Neolithic Black Burnished Ware in Mainland Greece,” </w:t>
      </w:r>
      <w:r w:rsidRPr="00746896">
        <w:rPr>
          <w:i/>
        </w:rPr>
        <w:t>American Journal of Archaeology</w:t>
      </w:r>
      <w:r>
        <w:t xml:space="preserve"> 68(4): 343-8.</w:t>
      </w:r>
    </w:p>
    <w:p w:rsidR="00B53355" w:rsidRDefault="00B53355" w:rsidP="00B53355"/>
    <w:p w:rsidR="00B53355" w:rsidRPr="00E463DB" w:rsidRDefault="00B53355" w:rsidP="00B53355">
      <w:r w:rsidRPr="00E463DB">
        <w:t xml:space="preserve">Kaiser, T. and B. Voytek. 1983. </w:t>
      </w:r>
      <w:r>
        <w:t>“</w:t>
      </w:r>
      <w:r w:rsidRPr="00E463DB">
        <w:t>Sedentism and economic change in the Balkan Neolithic,</w:t>
      </w:r>
      <w:r>
        <w:t>”</w:t>
      </w:r>
      <w:r w:rsidRPr="00E463DB">
        <w:t xml:space="preserve"> </w:t>
      </w:r>
      <w:r w:rsidRPr="00E463DB">
        <w:rPr>
          <w:i/>
        </w:rPr>
        <w:t>Journal of Anthropological Archaeology</w:t>
      </w:r>
      <w:r w:rsidRPr="00E463DB">
        <w:t xml:space="preserve"> 2(4): 323-353.</w:t>
      </w:r>
    </w:p>
    <w:p w:rsidR="00B53355" w:rsidRDefault="00B53355" w:rsidP="00B53355"/>
    <w:p w:rsidR="00B53355" w:rsidRPr="00746896" w:rsidRDefault="00B53355" w:rsidP="00B53355">
      <w:r>
        <w:t xml:space="preserve">Luca, S. A. 2008. “The Neolithic and Eneolithic periods in Transylvania.” In Institute of Archaeomythology and </w:t>
      </w:r>
      <w:r w:rsidRPr="00746896">
        <w:t>Muzeul Brukenthal</w:t>
      </w:r>
      <w:r>
        <w:t xml:space="preserve">, </w:t>
      </w:r>
      <w:r w:rsidRPr="00E463DB">
        <w:rPr>
          <w:i/>
        </w:rPr>
        <w:t>The Danube script: Neo-eneolithic writing in southeastern Europe</w:t>
      </w:r>
      <w:r w:rsidRPr="00746896">
        <w:t xml:space="preserve"> [exhibition catalogue]</w:t>
      </w:r>
      <w:r>
        <w:t>. Sebastopol, California, Institute of Archaeomythology, pp. 23-38.</w:t>
      </w:r>
    </w:p>
    <w:p w:rsidR="00B53355" w:rsidRDefault="00B53355" w:rsidP="00B53355"/>
    <w:p w:rsidR="00B53355" w:rsidRDefault="00B53355" w:rsidP="00B53355">
      <w:r>
        <w:t xml:space="preserve">Özdoğan, M. 2003. “The Prehistory of Northwestern Turkey - The synoptic overview of the latest evidence.” In D.V. Grammenos (ed.) </w:t>
      </w:r>
      <w:r w:rsidRPr="0094031E">
        <w:rPr>
          <w:i/>
        </w:rPr>
        <w:t>Recent Research in the Prehistory of the Balkans</w:t>
      </w:r>
      <w:r>
        <w:t>.  Thessaloniki: Archaeological Institute of Northern Greece and the Archaeological Receipts Fund, pp. 329- 68.</w:t>
      </w:r>
    </w:p>
    <w:p w:rsidR="00B53355" w:rsidRDefault="00B53355" w:rsidP="00B53355"/>
    <w:p w:rsidR="00B53355" w:rsidRDefault="00B53355" w:rsidP="00B53355">
      <w:r>
        <w:t xml:space="preserve">Thissen, L. (2001) “Time trajectories for the Neolithic of Central Anatolia, CANeW project,” http://www.canew.org/files/Thissen%20lecture.pdf, [23.11.2001]: 1-26. </w:t>
      </w:r>
    </w:p>
    <w:p w:rsidR="00B53355" w:rsidRDefault="00B53355" w:rsidP="00B53355"/>
    <w:p w:rsidR="00B53355" w:rsidRDefault="00B53355" w:rsidP="00B53355">
      <w:r>
        <w:t>─── (2007) “CANeW Central Anatolia and Cilicia 14C Chart, CANeW project,” http://www.canew.org/cachronobox.html, updated at 16.03.2007.</w:t>
      </w:r>
    </w:p>
    <w:p w:rsidR="00B53355" w:rsidRDefault="00B53355" w:rsidP="00B53355"/>
    <w:p w:rsidR="00B53355" w:rsidRPr="00062D94" w:rsidRDefault="00B53355" w:rsidP="00B53355">
      <w:r w:rsidRPr="00062D94">
        <w:t xml:space="preserve">Vasic, </w:t>
      </w:r>
      <w:r w:rsidRPr="00062D94">
        <w:rPr>
          <w:rFonts w:eastAsia="Arial Unicode MS" w:hint="eastAsia"/>
        </w:rPr>
        <w:t>Mīloje M</w:t>
      </w:r>
      <w:r w:rsidRPr="00062D94">
        <w:rPr>
          <w:rFonts w:eastAsia="Arial Unicode MS"/>
        </w:rPr>
        <w:t>.</w:t>
      </w:r>
      <w:r w:rsidRPr="00062D94">
        <w:t xml:space="preserve"> 1932-1936. </w:t>
      </w:r>
      <w:r w:rsidRPr="00062D94">
        <w:rPr>
          <w:i/>
        </w:rPr>
        <w:t>Preistoriska Vinča</w:t>
      </w:r>
      <w:r w:rsidRPr="00062D94">
        <w:t xml:space="preserve">. </w:t>
      </w:r>
      <w:r w:rsidRPr="00062D94">
        <w:rPr>
          <w:rFonts w:eastAsia="Arial Unicode MS" w:hint="eastAsia"/>
        </w:rPr>
        <w:t xml:space="preserve">Beograd </w:t>
      </w:r>
      <w:r w:rsidRPr="00062D94">
        <w:rPr>
          <w:rFonts w:eastAsia="Arial Unicode MS"/>
        </w:rPr>
        <w:t>[</w:t>
      </w:r>
      <w:r w:rsidRPr="00062D94">
        <w:t>Belgrade]:</w:t>
      </w:r>
      <w:r w:rsidRPr="00062D94">
        <w:rPr>
          <w:rFonts w:eastAsia="Arial Unicode MS" w:hint="eastAsia"/>
        </w:rPr>
        <w:t xml:space="preserve"> Državne Štamparije</w:t>
      </w:r>
      <w:r w:rsidRPr="00062D94">
        <w:rPr>
          <w:rFonts w:eastAsia="Arial Unicode MS"/>
        </w:rPr>
        <w:t>. 4 v.</w:t>
      </w:r>
    </w:p>
    <w:p w:rsidR="00B53355" w:rsidRDefault="00B53355" w:rsidP="00B53355"/>
    <w:p w:rsidR="00B53355" w:rsidRDefault="00B53355" w:rsidP="00B53355">
      <w:pPr>
        <w:rPr>
          <w:rStyle w:val="itempublisher"/>
        </w:rPr>
      </w:pPr>
      <w:r>
        <w:rPr>
          <w:rFonts w:eastAsia="Arial Unicode MS"/>
        </w:rPr>
        <w:t xml:space="preserve">Winn, Milton MacChesney. 1981. </w:t>
      </w:r>
      <w:hyperlink r:id="rId27" w:history="1">
        <w:r w:rsidRPr="004448A4">
          <w:rPr>
            <w:rStyle w:val="Hyperlink"/>
            <w:i/>
            <w:color w:val="000000"/>
            <w:u w:val="none"/>
          </w:rPr>
          <w:t xml:space="preserve">Pre-writing </w:t>
        </w:r>
        <w:r>
          <w:rPr>
            <w:rStyle w:val="Hyperlink"/>
            <w:i/>
            <w:color w:val="000000"/>
            <w:u w:val="none"/>
          </w:rPr>
          <w:t>in Southeastern Europe</w:t>
        </w:r>
        <w:r w:rsidRPr="004448A4">
          <w:rPr>
            <w:rStyle w:val="Hyperlink"/>
            <w:i/>
            <w:color w:val="000000"/>
            <w:u w:val="none"/>
          </w:rPr>
          <w:t>: the sign system of the Vinča culture ca. 4000 B.C.</w:t>
        </w:r>
      </w:hyperlink>
      <w:r w:rsidRPr="004448A4">
        <w:rPr>
          <w:color w:val="000000"/>
        </w:rPr>
        <w:t xml:space="preserve"> </w:t>
      </w:r>
      <w:r>
        <w:rPr>
          <w:rStyle w:val="itempublisher"/>
        </w:rPr>
        <w:t>Calgary, Alberta: Western Publishers.</w:t>
      </w:r>
    </w:p>
    <w:p w:rsidR="00555839" w:rsidRDefault="00555839" w:rsidP="00B53355">
      <w:pPr>
        <w:rPr>
          <w:rStyle w:val="itempublisher"/>
        </w:rPr>
      </w:pPr>
      <w:r>
        <w:rPr>
          <w:rStyle w:val="itempublisher"/>
        </w:rPr>
        <w:t>Appendix:</w:t>
      </w:r>
    </w:p>
    <w:p w:rsidR="00555839" w:rsidRPr="004448A4" w:rsidRDefault="00555839" w:rsidP="00B53355">
      <w:pPr>
        <w:rPr>
          <w:color w:val="000000"/>
        </w:rPr>
      </w:pPr>
      <w:r>
        <w:rPr>
          <w:rStyle w:val="itempublisher"/>
        </w:rPr>
        <w:t>AP 1</w:t>
      </w:r>
    </w:p>
    <w:p w:rsidR="00B53355" w:rsidRDefault="00B53355" w:rsidP="00B53355"/>
    <w:p w:rsidR="00C01747" w:rsidRPr="00B53355" w:rsidRDefault="00C01747">
      <w:pPr>
        <w:rPr>
          <w:b/>
        </w:rPr>
      </w:pPr>
    </w:p>
    <w:sectPr w:rsidR="00C01747" w:rsidRPr="00B53355" w:rsidSect="00C0174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1747"/>
    <w:rsid w:val="000029F6"/>
    <w:rsid w:val="0000311B"/>
    <w:rsid w:val="00004588"/>
    <w:rsid w:val="000051F5"/>
    <w:rsid w:val="00013FE4"/>
    <w:rsid w:val="00023A53"/>
    <w:rsid w:val="00032655"/>
    <w:rsid w:val="00037BFA"/>
    <w:rsid w:val="00045F2D"/>
    <w:rsid w:val="00050A29"/>
    <w:rsid w:val="00054DB5"/>
    <w:rsid w:val="00061034"/>
    <w:rsid w:val="00064B15"/>
    <w:rsid w:val="00067380"/>
    <w:rsid w:val="000763C9"/>
    <w:rsid w:val="000840EC"/>
    <w:rsid w:val="000940ED"/>
    <w:rsid w:val="0009767A"/>
    <w:rsid w:val="000A2F75"/>
    <w:rsid w:val="000A6495"/>
    <w:rsid w:val="000B1C07"/>
    <w:rsid w:val="000B2955"/>
    <w:rsid w:val="000B60D4"/>
    <w:rsid w:val="000D25A1"/>
    <w:rsid w:val="000D4A27"/>
    <w:rsid w:val="000D5E5B"/>
    <w:rsid w:val="000D7727"/>
    <w:rsid w:val="000E0B38"/>
    <w:rsid w:val="000E4FE7"/>
    <w:rsid w:val="000E675D"/>
    <w:rsid w:val="000F1237"/>
    <w:rsid w:val="000F34E5"/>
    <w:rsid w:val="00101B32"/>
    <w:rsid w:val="00105E27"/>
    <w:rsid w:val="0011445A"/>
    <w:rsid w:val="00116885"/>
    <w:rsid w:val="0012378F"/>
    <w:rsid w:val="00130899"/>
    <w:rsid w:val="001400BD"/>
    <w:rsid w:val="00141783"/>
    <w:rsid w:val="00147A24"/>
    <w:rsid w:val="001515C1"/>
    <w:rsid w:val="00151F74"/>
    <w:rsid w:val="00166CAE"/>
    <w:rsid w:val="00170AFD"/>
    <w:rsid w:val="001753E5"/>
    <w:rsid w:val="0018142E"/>
    <w:rsid w:val="00185F53"/>
    <w:rsid w:val="00190E17"/>
    <w:rsid w:val="001962D0"/>
    <w:rsid w:val="001A1312"/>
    <w:rsid w:val="001A16F7"/>
    <w:rsid w:val="001A3654"/>
    <w:rsid w:val="001A6915"/>
    <w:rsid w:val="001B264A"/>
    <w:rsid w:val="001B5589"/>
    <w:rsid w:val="001B6666"/>
    <w:rsid w:val="001D02CA"/>
    <w:rsid w:val="001F3932"/>
    <w:rsid w:val="001F4C35"/>
    <w:rsid w:val="001F7060"/>
    <w:rsid w:val="002061C9"/>
    <w:rsid w:val="00211C5F"/>
    <w:rsid w:val="00216BF7"/>
    <w:rsid w:val="00225AFA"/>
    <w:rsid w:val="00225EA5"/>
    <w:rsid w:val="00237BDF"/>
    <w:rsid w:val="00261E42"/>
    <w:rsid w:val="00267D2D"/>
    <w:rsid w:val="002715C9"/>
    <w:rsid w:val="002736F0"/>
    <w:rsid w:val="002935C4"/>
    <w:rsid w:val="00295171"/>
    <w:rsid w:val="00295224"/>
    <w:rsid w:val="002A2567"/>
    <w:rsid w:val="002A2C9C"/>
    <w:rsid w:val="002A391A"/>
    <w:rsid w:val="002A6916"/>
    <w:rsid w:val="002A7247"/>
    <w:rsid w:val="002B0E62"/>
    <w:rsid w:val="002C1E0C"/>
    <w:rsid w:val="002C7A68"/>
    <w:rsid w:val="002D136F"/>
    <w:rsid w:val="002D2732"/>
    <w:rsid w:val="002E5355"/>
    <w:rsid w:val="002E75FD"/>
    <w:rsid w:val="002F3518"/>
    <w:rsid w:val="002F7F58"/>
    <w:rsid w:val="0030477D"/>
    <w:rsid w:val="003074BF"/>
    <w:rsid w:val="003164B2"/>
    <w:rsid w:val="00334365"/>
    <w:rsid w:val="00336745"/>
    <w:rsid w:val="00343579"/>
    <w:rsid w:val="00362E0D"/>
    <w:rsid w:val="00372977"/>
    <w:rsid w:val="003849A2"/>
    <w:rsid w:val="00387877"/>
    <w:rsid w:val="00387921"/>
    <w:rsid w:val="003935C9"/>
    <w:rsid w:val="003A5B85"/>
    <w:rsid w:val="003B1AC4"/>
    <w:rsid w:val="003B28E9"/>
    <w:rsid w:val="003B6B47"/>
    <w:rsid w:val="003C0493"/>
    <w:rsid w:val="003C0A35"/>
    <w:rsid w:val="003C3A9A"/>
    <w:rsid w:val="003E02D1"/>
    <w:rsid w:val="003E2208"/>
    <w:rsid w:val="003E5A3E"/>
    <w:rsid w:val="0040209D"/>
    <w:rsid w:val="00405957"/>
    <w:rsid w:val="00406E32"/>
    <w:rsid w:val="004075CC"/>
    <w:rsid w:val="0041027E"/>
    <w:rsid w:val="0041771B"/>
    <w:rsid w:val="00417F59"/>
    <w:rsid w:val="00432817"/>
    <w:rsid w:val="004343AB"/>
    <w:rsid w:val="00434E35"/>
    <w:rsid w:val="00434FD0"/>
    <w:rsid w:val="00442C94"/>
    <w:rsid w:val="00443C2F"/>
    <w:rsid w:val="004451BA"/>
    <w:rsid w:val="00452389"/>
    <w:rsid w:val="00455527"/>
    <w:rsid w:val="00455EB9"/>
    <w:rsid w:val="004605B7"/>
    <w:rsid w:val="00463382"/>
    <w:rsid w:val="00463439"/>
    <w:rsid w:val="004648D4"/>
    <w:rsid w:val="00467B04"/>
    <w:rsid w:val="00470C6D"/>
    <w:rsid w:val="00472FDA"/>
    <w:rsid w:val="00473ACC"/>
    <w:rsid w:val="00473E82"/>
    <w:rsid w:val="00474942"/>
    <w:rsid w:val="00481522"/>
    <w:rsid w:val="004A17C9"/>
    <w:rsid w:val="004A54B1"/>
    <w:rsid w:val="004B4AE0"/>
    <w:rsid w:val="004B70AD"/>
    <w:rsid w:val="004D3F1C"/>
    <w:rsid w:val="004D70FD"/>
    <w:rsid w:val="004E6934"/>
    <w:rsid w:val="004F1045"/>
    <w:rsid w:val="004F44DD"/>
    <w:rsid w:val="004F6A30"/>
    <w:rsid w:val="00500CFF"/>
    <w:rsid w:val="00506D9D"/>
    <w:rsid w:val="0051248A"/>
    <w:rsid w:val="00513F9E"/>
    <w:rsid w:val="00526AB5"/>
    <w:rsid w:val="00526ADD"/>
    <w:rsid w:val="00526F36"/>
    <w:rsid w:val="00533143"/>
    <w:rsid w:val="005363FC"/>
    <w:rsid w:val="005403D1"/>
    <w:rsid w:val="0054370C"/>
    <w:rsid w:val="00555839"/>
    <w:rsid w:val="0055605E"/>
    <w:rsid w:val="00557DDD"/>
    <w:rsid w:val="00565A06"/>
    <w:rsid w:val="00574665"/>
    <w:rsid w:val="00585872"/>
    <w:rsid w:val="0058696B"/>
    <w:rsid w:val="005A281C"/>
    <w:rsid w:val="005A7B0E"/>
    <w:rsid w:val="005B2F70"/>
    <w:rsid w:val="005C25CA"/>
    <w:rsid w:val="005D029D"/>
    <w:rsid w:val="005D1989"/>
    <w:rsid w:val="005D55B5"/>
    <w:rsid w:val="005D6837"/>
    <w:rsid w:val="005E137C"/>
    <w:rsid w:val="005E54DD"/>
    <w:rsid w:val="005E7569"/>
    <w:rsid w:val="005F3D87"/>
    <w:rsid w:val="005F4A89"/>
    <w:rsid w:val="005F5494"/>
    <w:rsid w:val="00601358"/>
    <w:rsid w:val="00602F0F"/>
    <w:rsid w:val="00606CC0"/>
    <w:rsid w:val="00610A8D"/>
    <w:rsid w:val="00610FEA"/>
    <w:rsid w:val="00630C35"/>
    <w:rsid w:val="00631FE6"/>
    <w:rsid w:val="00635C2C"/>
    <w:rsid w:val="00643B4E"/>
    <w:rsid w:val="00654273"/>
    <w:rsid w:val="006570FE"/>
    <w:rsid w:val="00657BC9"/>
    <w:rsid w:val="00661BE5"/>
    <w:rsid w:val="006841E3"/>
    <w:rsid w:val="00692AA7"/>
    <w:rsid w:val="006C1321"/>
    <w:rsid w:val="006C172A"/>
    <w:rsid w:val="006C20D7"/>
    <w:rsid w:val="006C33A7"/>
    <w:rsid w:val="006D3BB1"/>
    <w:rsid w:val="006E0D1B"/>
    <w:rsid w:val="006E787E"/>
    <w:rsid w:val="007203C9"/>
    <w:rsid w:val="00721D92"/>
    <w:rsid w:val="00724159"/>
    <w:rsid w:val="00724731"/>
    <w:rsid w:val="00726834"/>
    <w:rsid w:val="0073137E"/>
    <w:rsid w:val="00743B98"/>
    <w:rsid w:val="00743C27"/>
    <w:rsid w:val="0075288D"/>
    <w:rsid w:val="00760656"/>
    <w:rsid w:val="00766A94"/>
    <w:rsid w:val="00773E45"/>
    <w:rsid w:val="00787C6D"/>
    <w:rsid w:val="00791416"/>
    <w:rsid w:val="007A3F04"/>
    <w:rsid w:val="007A5964"/>
    <w:rsid w:val="007A72C0"/>
    <w:rsid w:val="007A7E21"/>
    <w:rsid w:val="007B15DF"/>
    <w:rsid w:val="007B4241"/>
    <w:rsid w:val="007D00E0"/>
    <w:rsid w:val="007D4BF7"/>
    <w:rsid w:val="007F328F"/>
    <w:rsid w:val="00807DC1"/>
    <w:rsid w:val="00810912"/>
    <w:rsid w:val="008118BE"/>
    <w:rsid w:val="00812C73"/>
    <w:rsid w:val="00816564"/>
    <w:rsid w:val="00817D3B"/>
    <w:rsid w:val="00824D87"/>
    <w:rsid w:val="00827601"/>
    <w:rsid w:val="008332AE"/>
    <w:rsid w:val="00840071"/>
    <w:rsid w:val="00844756"/>
    <w:rsid w:val="008523ED"/>
    <w:rsid w:val="008534AB"/>
    <w:rsid w:val="00880CB9"/>
    <w:rsid w:val="00882772"/>
    <w:rsid w:val="0088661E"/>
    <w:rsid w:val="008902D5"/>
    <w:rsid w:val="0089303B"/>
    <w:rsid w:val="008B0CC5"/>
    <w:rsid w:val="008F0F5F"/>
    <w:rsid w:val="008F382A"/>
    <w:rsid w:val="009021C3"/>
    <w:rsid w:val="0091697D"/>
    <w:rsid w:val="00924591"/>
    <w:rsid w:val="009245E7"/>
    <w:rsid w:val="00934EF0"/>
    <w:rsid w:val="009356AB"/>
    <w:rsid w:val="00935DC5"/>
    <w:rsid w:val="009466B0"/>
    <w:rsid w:val="00956792"/>
    <w:rsid w:val="009572F6"/>
    <w:rsid w:val="00960FCD"/>
    <w:rsid w:val="00962E59"/>
    <w:rsid w:val="009662D3"/>
    <w:rsid w:val="009751A9"/>
    <w:rsid w:val="00997EF2"/>
    <w:rsid w:val="009A3946"/>
    <w:rsid w:val="009B2658"/>
    <w:rsid w:val="009B439C"/>
    <w:rsid w:val="009B67BC"/>
    <w:rsid w:val="009C0173"/>
    <w:rsid w:val="009C3042"/>
    <w:rsid w:val="009C7233"/>
    <w:rsid w:val="009D199B"/>
    <w:rsid w:val="009D360D"/>
    <w:rsid w:val="009D38DD"/>
    <w:rsid w:val="009D64D6"/>
    <w:rsid w:val="009D7424"/>
    <w:rsid w:val="009E163C"/>
    <w:rsid w:val="009E6FAE"/>
    <w:rsid w:val="009F5BA3"/>
    <w:rsid w:val="00A00008"/>
    <w:rsid w:val="00A01B7E"/>
    <w:rsid w:val="00A02430"/>
    <w:rsid w:val="00A03CA7"/>
    <w:rsid w:val="00A05A14"/>
    <w:rsid w:val="00A139E5"/>
    <w:rsid w:val="00A156BC"/>
    <w:rsid w:val="00A15BC9"/>
    <w:rsid w:val="00A16DE7"/>
    <w:rsid w:val="00A2539A"/>
    <w:rsid w:val="00A256DC"/>
    <w:rsid w:val="00A27ACD"/>
    <w:rsid w:val="00A35543"/>
    <w:rsid w:val="00A37CE3"/>
    <w:rsid w:val="00A4053A"/>
    <w:rsid w:val="00A41EBE"/>
    <w:rsid w:val="00A51186"/>
    <w:rsid w:val="00A606FB"/>
    <w:rsid w:val="00A64A90"/>
    <w:rsid w:val="00A72492"/>
    <w:rsid w:val="00A72B96"/>
    <w:rsid w:val="00A76AC0"/>
    <w:rsid w:val="00A76CA7"/>
    <w:rsid w:val="00A77B2D"/>
    <w:rsid w:val="00A87AE9"/>
    <w:rsid w:val="00A92EE6"/>
    <w:rsid w:val="00A9363B"/>
    <w:rsid w:val="00AA5B10"/>
    <w:rsid w:val="00AB0266"/>
    <w:rsid w:val="00AB46DA"/>
    <w:rsid w:val="00AB5331"/>
    <w:rsid w:val="00AC20C2"/>
    <w:rsid w:val="00AC461F"/>
    <w:rsid w:val="00AD2981"/>
    <w:rsid w:val="00AD2ECF"/>
    <w:rsid w:val="00AD5D03"/>
    <w:rsid w:val="00AE1156"/>
    <w:rsid w:val="00AF1656"/>
    <w:rsid w:val="00AF236F"/>
    <w:rsid w:val="00AF46BE"/>
    <w:rsid w:val="00B01DA8"/>
    <w:rsid w:val="00B04C6E"/>
    <w:rsid w:val="00B064B2"/>
    <w:rsid w:val="00B078C6"/>
    <w:rsid w:val="00B11822"/>
    <w:rsid w:val="00B130E1"/>
    <w:rsid w:val="00B14E0A"/>
    <w:rsid w:val="00B30022"/>
    <w:rsid w:val="00B30145"/>
    <w:rsid w:val="00B32140"/>
    <w:rsid w:val="00B32515"/>
    <w:rsid w:val="00B3518D"/>
    <w:rsid w:val="00B46205"/>
    <w:rsid w:val="00B46C25"/>
    <w:rsid w:val="00B53355"/>
    <w:rsid w:val="00B5407E"/>
    <w:rsid w:val="00B55317"/>
    <w:rsid w:val="00B648E5"/>
    <w:rsid w:val="00B70A8E"/>
    <w:rsid w:val="00B81064"/>
    <w:rsid w:val="00B81742"/>
    <w:rsid w:val="00B9276F"/>
    <w:rsid w:val="00B938EF"/>
    <w:rsid w:val="00BA58EF"/>
    <w:rsid w:val="00BB44E3"/>
    <w:rsid w:val="00BB4FDC"/>
    <w:rsid w:val="00BC37B0"/>
    <w:rsid w:val="00BC3EDC"/>
    <w:rsid w:val="00BC6E02"/>
    <w:rsid w:val="00BC7816"/>
    <w:rsid w:val="00BC7FA7"/>
    <w:rsid w:val="00BD1CCE"/>
    <w:rsid w:val="00BD5610"/>
    <w:rsid w:val="00BE3905"/>
    <w:rsid w:val="00BE3BE5"/>
    <w:rsid w:val="00BE4116"/>
    <w:rsid w:val="00BE5529"/>
    <w:rsid w:val="00BF4F3D"/>
    <w:rsid w:val="00C00CED"/>
    <w:rsid w:val="00C01747"/>
    <w:rsid w:val="00C068AF"/>
    <w:rsid w:val="00C1070D"/>
    <w:rsid w:val="00C265A3"/>
    <w:rsid w:val="00C34618"/>
    <w:rsid w:val="00C35779"/>
    <w:rsid w:val="00C434CD"/>
    <w:rsid w:val="00C51070"/>
    <w:rsid w:val="00C52C07"/>
    <w:rsid w:val="00C536B4"/>
    <w:rsid w:val="00C53F22"/>
    <w:rsid w:val="00C61CAA"/>
    <w:rsid w:val="00C63BC1"/>
    <w:rsid w:val="00C64A3C"/>
    <w:rsid w:val="00C94A70"/>
    <w:rsid w:val="00CA0AC0"/>
    <w:rsid w:val="00CB775D"/>
    <w:rsid w:val="00CD4ABF"/>
    <w:rsid w:val="00CE7085"/>
    <w:rsid w:val="00CF127E"/>
    <w:rsid w:val="00CF3CFF"/>
    <w:rsid w:val="00CF3E4E"/>
    <w:rsid w:val="00D067AE"/>
    <w:rsid w:val="00D23B6C"/>
    <w:rsid w:val="00D430AC"/>
    <w:rsid w:val="00D43AFA"/>
    <w:rsid w:val="00D5291C"/>
    <w:rsid w:val="00D57086"/>
    <w:rsid w:val="00D61739"/>
    <w:rsid w:val="00D63E92"/>
    <w:rsid w:val="00D76354"/>
    <w:rsid w:val="00D82D8C"/>
    <w:rsid w:val="00D85A69"/>
    <w:rsid w:val="00D90BEA"/>
    <w:rsid w:val="00D925BC"/>
    <w:rsid w:val="00D96C98"/>
    <w:rsid w:val="00DA37A7"/>
    <w:rsid w:val="00DA7015"/>
    <w:rsid w:val="00DB4CE3"/>
    <w:rsid w:val="00DB5FEA"/>
    <w:rsid w:val="00DC5202"/>
    <w:rsid w:val="00DD60F9"/>
    <w:rsid w:val="00DE5A18"/>
    <w:rsid w:val="00DF2E42"/>
    <w:rsid w:val="00DF4744"/>
    <w:rsid w:val="00E00E09"/>
    <w:rsid w:val="00E078B8"/>
    <w:rsid w:val="00E103AE"/>
    <w:rsid w:val="00E115FD"/>
    <w:rsid w:val="00E12ADB"/>
    <w:rsid w:val="00E15AB2"/>
    <w:rsid w:val="00E257BB"/>
    <w:rsid w:val="00E25C9A"/>
    <w:rsid w:val="00E26FDF"/>
    <w:rsid w:val="00E27575"/>
    <w:rsid w:val="00E33402"/>
    <w:rsid w:val="00E35373"/>
    <w:rsid w:val="00E354D2"/>
    <w:rsid w:val="00E37218"/>
    <w:rsid w:val="00E4233F"/>
    <w:rsid w:val="00E43705"/>
    <w:rsid w:val="00E44261"/>
    <w:rsid w:val="00E6204C"/>
    <w:rsid w:val="00E6415F"/>
    <w:rsid w:val="00E7189D"/>
    <w:rsid w:val="00E74C63"/>
    <w:rsid w:val="00E74D59"/>
    <w:rsid w:val="00E82913"/>
    <w:rsid w:val="00E84529"/>
    <w:rsid w:val="00E91D5E"/>
    <w:rsid w:val="00EA096C"/>
    <w:rsid w:val="00EA3C79"/>
    <w:rsid w:val="00EA6037"/>
    <w:rsid w:val="00EA765B"/>
    <w:rsid w:val="00EB4D69"/>
    <w:rsid w:val="00EB5928"/>
    <w:rsid w:val="00EB684C"/>
    <w:rsid w:val="00EC4D94"/>
    <w:rsid w:val="00ED0726"/>
    <w:rsid w:val="00ED2068"/>
    <w:rsid w:val="00EE2A94"/>
    <w:rsid w:val="00EF0D3D"/>
    <w:rsid w:val="00EF4FEC"/>
    <w:rsid w:val="00EF709F"/>
    <w:rsid w:val="00EF7F5B"/>
    <w:rsid w:val="00F0379A"/>
    <w:rsid w:val="00F06095"/>
    <w:rsid w:val="00F15D7B"/>
    <w:rsid w:val="00F23D31"/>
    <w:rsid w:val="00F26BC5"/>
    <w:rsid w:val="00F27ABB"/>
    <w:rsid w:val="00F302FD"/>
    <w:rsid w:val="00F30B0B"/>
    <w:rsid w:val="00F450FA"/>
    <w:rsid w:val="00F51F90"/>
    <w:rsid w:val="00F55B4C"/>
    <w:rsid w:val="00F646CF"/>
    <w:rsid w:val="00F737B0"/>
    <w:rsid w:val="00F7597C"/>
    <w:rsid w:val="00F768BC"/>
    <w:rsid w:val="00F76A9E"/>
    <w:rsid w:val="00F81B99"/>
    <w:rsid w:val="00F81F5E"/>
    <w:rsid w:val="00FA1C3A"/>
    <w:rsid w:val="00FA28E4"/>
    <w:rsid w:val="00FA4E20"/>
    <w:rsid w:val="00FA4F9D"/>
    <w:rsid w:val="00FA6C75"/>
    <w:rsid w:val="00FA6F1C"/>
    <w:rsid w:val="00FB0E79"/>
    <w:rsid w:val="00FB1ACA"/>
    <w:rsid w:val="00FB562B"/>
    <w:rsid w:val="00FB77B8"/>
    <w:rsid w:val="00FB7936"/>
    <w:rsid w:val="00FC0583"/>
    <w:rsid w:val="00FD075C"/>
    <w:rsid w:val="00FD1D6D"/>
    <w:rsid w:val="00FD452B"/>
    <w:rsid w:val="00FD7737"/>
    <w:rsid w:val="00FD7BD3"/>
    <w:rsid w:val="00FE0919"/>
    <w:rsid w:val="00FE2A5C"/>
    <w:rsid w:val="00FE5DE0"/>
    <w:rsid w:val="00FF6A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5F86E9"/>
  <w15:chartTrackingRefBased/>
  <w15:docId w15:val="{A3577E98-8D9E-4B77-B842-460C7568B6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semiHidden/>
    <w:rsid w:val="00B53355"/>
    <w:rPr>
      <w:color w:val="0000FF"/>
      <w:u w:val="single"/>
    </w:rPr>
  </w:style>
  <w:style w:type="character" w:styleId="Strong">
    <w:name w:val="Strong"/>
    <w:qFormat/>
    <w:rsid w:val="00B53355"/>
    <w:rPr>
      <w:b/>
      <w:bCs/>
    </w:rPr>
  </w:style>
  <w:style w:type="character" w:styleId="HTMLCite">
    <w:name w:val="HTML Cite"/>
    <w:uiPriority w:val="99"/>
    <w:semiHidden/>
    <w:unhideWhenUsed/>
    <w:rsid w:val="00B53355"/>
    <w:rPr>
      <w:i/>
      <w:iCs/>
    </w:rPr>
  </w:style>
  <w:style w:type="character" w:customStyle="1" w:styleId="itempublisher">
    <w:name w:val="itempublisher"/>
    <w:rsid w:val="00B533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microsoft.com/office/2007/relationships/hdphoto" Target="media/hdphoto5.wdp"/><Relationship Id="rId18" Type="http://schemas.openxmlformats.org/officeDocument/2006/relationships/oleObject" Target="embeddings/oleObject1.bin"/><Relationship Id="rId26" Type="http://schemas.openxmlformats.org/officeDocument/2006/relationships/hyperlink" Target="http://dx.doi.org/10.1038/nature14317" TargetMode="External"/><Relationship Id="rId3" Type="http://schemas.openxmlformats.org/officeDocument/2006/relationships/webSettings" Target="webSettings.xml"/><Relationship Id="rId21" Type="http://schemas.openxmlformats.org/officeDocument/2006/relationships/image" Target="https://upload.wikimedia.org/wikipedia/commons/2/20/Kurgan_map.png" TargetMode="External"/><Relationship Id="rId7" Type="http://schemas.microsoft.com/office/2007/relationships/hdphoto" Target="media/hdphoto2.wdp"/><Relationship Id="rId12" Type="http://schemas.openxmlformats.org/officeDocument/2006/relationships/image" Target="media/image5.png"/><Relationship Id="rId17" Type="http://schemas.openxmlformats.org/officeDocument/2006/relationships/image" Target="media/image8.emf"/><Relationship Id="rId25" Type="http://schemas.openxmlformats.org/officeDocument/2006/relationships/hyperlink" Target="https://en.wikipedia.org/wiki/Image:Kurgan_map.png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microsoft.com/office/2007/relationships/hdphoto" Target="media/hdphoto4.wdp"/><Relationship Id="rId24" Type="http://schemas.openxmlformats.org/officeDocument/2006/relationships/hyperlink" Target="https://en.wikipedia.org/wiki/User:Dbachmann" TargetMode="External"/><Relationship Id="rId5" Type="http://schemas.microsoft.com/office/2007/relationships/hdphoto" Target="media/hdphoto1.wdp"/><Relationship Id="rId15" Type="http://schemas.microsoft.com/office/2007/relationships/hdphoto" Target="media/hdphoto6.wdp"/><Relationship Id="rId23" Type="http://schemas.openxmlformats.org/officeDocument/2006/relationships/hyperlink" Target="https://commons.wikimedia.org/w/index.php?title=Kurgan&amp;action=edit&amp;redlink=1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4" Type="http://schemas.openxmlformats.org/officeDocument/2006/relationships/image" Target="media/image1.png"/><Relationship Id="rId9" Type="http://schemas.microsoft.com/office/2007/relationships/hdphoto" Target="media/hdphoto3.wdp"/><Relationship Id="rId14" Type="http://schemas.openxmlformats.org/officeDocument/2006/relationships/image" Target="media/image6.png"/><Relationship Id="rId22" Type="http://schemas.openxmlformats.org/officeDocument/2006/relationships/hyperlink" Target="https://commons.wikimedia.org/w/index.php?title=Marija_Gimbutas&amp;action=edit&amp;redlink=1" TargetMode="External"/><Relationship Id="rId27" Type="http://schemas.openxmlformats.org/officeDocument/2006/relationships/hyperlink" Target="http://www.worldcat.org/title/pre-writing-in-southeastern-europe-the-sgin-system-of-the-vinca-culture-ca-4000-bc/oclc/781534609&amp;referer=brief_result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1123</Words>
  <Characters>6403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murcott</dc:creator>
  <cp:keywords/>
  <dc:description/>
  <cp:lastModifiedBy>Coffman</cp:lastModifiedBy>
  <cp:revision>2</cp:revision>
  <dcterms:created xsi:type="dcterms:W3CDTF">2019-01-17T20:27:00Z</dcterms:created>
  <dcterms:modified xsi:type="dcterms:W3CDTF">2019-01-17T20:27:00Z</dcterms:modified>
</cp:coreProperties>
</file>